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5FD" w:rsidRDefault="004C15FD" w:rsidP="00D36FAE">
      <w:pPr>
        <w:jc w:val="center"/>
        <w:rPr>
          <w:b/>
        </w:rPr>
      </w:pPr>
      <w:r>
        <w:rPr>
          <w:b/>
        </w:rPr>
        <w:t>PLANO ESTRATÉGICO – PLANEST 2016/2019</w:t>
      </w:r>
    </w:p>
    <w:p w:rsidR="008D6429" w:rsidRDefault="008D6429" w:rsidP="00D36FAE">
      <w:pPr>
        <w:jc w:val="center"/>
        <w:rPr>
          <w:b/>
        </w:rPr>
      </w:pPr>
      <w:r>
        <w:rPr>
          <w:b/>
        </w:rPr>
        <w:t>SISTEMA DE GESTÃO DO DESEMPENHO – SGD</w:t>
      </w:r>
    </w:p>
    <w:p w:rsidR="00894EBE" w:rsidRDefault="00386878" w:rsidP="005A22E9">
      <w:pPr>
        <w:jc w:val="both"/>
        <w:rPr>
          <w:b/>
        </w:rPr>
      </w:pPr>
      <w:r>
        <w:rPr>
          <w:b/>
        </w:rPr>
        <w:t xml:space="preserve">PAINEL DE CONTRIBUIÇÃO DA UNIDADE (NÍVEL TÁTICO) E </w:t>
      </w:r>
      <w:r w:rsidR="00894EBE">
        <w:rPr>
          <w:b/>
        </w:rPr>
        <w:t xml:space="preserve">PLANEJAMENTO </w:t>
      </w:r>
      <w:r w:rsidR="00D36FAE">
        <w:rPr>
          <w:b/>
        </w:rPr>
        <w:t xml:space="preserve">SETORIAL </w:t>
      </w:r>
      <w:r w:rsidR="00894EBE">
        <w:rPr>
          <w:b/>
        </w:rPr>
        <w:t xml:space="preserve">DO </w:t>
      </w:r>
      <w:r w:rsidR="00A5382F">
        <w:rPr>
          <w:b/>
        </w:rPr>
        <w:t>TRABALHO</w:t>
      </w:r>
      <w:r w:rsidR="00AC2C6E">
        <w:rPr>
          <w:b/>
        </w:rPr>
        <w:t xml:space="preserve"> (</w:t>
      </w:r>
      <w:r>
        <w:rPr>
          <w:b/>
        </w:rPr>
        <w:t xml:space="preserve">NÍVEL </w:t>
      </w:r>
      <w:r w:rsidR="00AC2C6E">
        <w:rPr>
          <w:b/>
        </w:rPr>
        <w:t>OPERACIONAL)</w:t>
      </w:r>
    </w:p>
    <w:p w:rsidR="00386878" w:rsidRDefault="00386878" w:rsidP="005A22E9">
      <w:pPr>
        <w:jc w:val="both"/>
        <w:rPr>
          <w:b/>
        </w:rPr>
      </w:pPr>
      <w:r>
        <w:rPr>
          <w:b/>
        </w:rPr>
        <w:t>Painel de Contribuição da Unidade. Apresentação</w:t>
      </w:r>
    </w:p>
    <w:p w:rsidR="00C269F4" w:rsidRDefault="00386878" w:rsidP="00386878">
      <w:pPr>
        <w:ind w:firstLine="708"/>
        <w:jc w:val="both"/>
      </w:pPr>
      <w:r>
        <w:t xml:space="preserve">O Painel de Contribuição da Unidade </w:t>
      </w:r>
      <w:r w:rsidRPr="005A22E9">
        <w:t xml:space="preserve">é uma ferramenta </w:t>
      </w:r>
      <w:r>
        <w:t>de apoio ao gestor que possibilita visualizar e compreender o alinhamento da unidade em relação à estratégia corporativa</w:t>
      </w:r>
      <w:r w:rsidR="00C269F4">
        <w:t xml:space="preserve">, no qual </w:t>
      </w:r>
      <w:r>
        <w:t>devem ser descrit</w:t>
      </w:r>
      <w:r w:rsidR="00C269F4">
        <w:t>o</w:t>
      </w:r>
      <w:r>
        <w:t xml:space="preserve">s </w:t>
      </w:r>
      <w:r w:rsidR="00C269F4">
        <w:t xml:space="preserve">o </w:t>
      </w:r>
      <w:r w:rsidR="00C269F4" w:rsidRPr="00F20EE8">
        <w:rPr>
          <w:b/>
        </w:rPr>
        <w:t>objetivo de contribuição da unidade</w:t>
      </w:r>
      <w:r w:rsidR="00C269F4">
        <w:t xml:space="preserve"> relativamente ao objetivo estratégico da organização, o indicador setorial, a meta setorial para o exercício e as ações setoriais (iniciativas/projetos/atividades).</w:t>
      </w:r>
    </w:p>
    <w:p w:rsidR="00386878" w:rsidRDefault="00C269F4" w:rsidP="00386878">
      <w:pPr>
        <w:ind w:firstLine="708"/>
        <w:jc w:val="both"/>
      </w:pPr>
      <w:r w:rsidRPr="003C284C">
        <w:rPr>
          <w:b/>
        </w:rPr>
        <w:t>Objetivo de Contribuição</w:t>
      </w:r>
      <w:r>
        <w:t xml:space="preserve"> – Para as unidades que realizam os processos de negócio da organização</w:t>
      </w:r>
      <w:r w:rsidR="003C284C">
        <w:t>,</w:t>
      </w:r>
      <w:r>
        <w:t xml:space="preserve"> o objetivo de contribuição geralmente tem a mesma redação do objetivo </w:t>
      </w:r>
      <w:r w:rsidR="003C284C">
        <w:t>do mapa corporativo</w:t>
      </w:r>
      <w:r>
        <w:t xml:space="preserve">, pois estas unidades </w:t>
      </w:r>
      <w:r w:rsidR="003C284C">
        <w:t>exercem as funções estratégicas da instituição. As Secretarias de Controle Externo deverão se orientar principalmente nos objetivos estratégicos do Tema EFETIVIDADE DA ATUAÇÃO do Mapa (Objetivos 1 a 4).</w:t>
      </w:r>
    </w:p>
    <w:p w:rsidR="003C284C" w:rsidRDefault="003C284C" w:rsidP="00386878">
      <w:pPr>
        <w:ind w:firstLine="708"/>
        <w:jc w:val="both"/>
      </w:pPr>
      <w:r w:rsidRPr="003C284C">
        <w:rPr>
          <w:b/>
        </w:rPr>
        <w:t>Indicador Setorial</w:t>
      </w:r>
      <w:r>
        <w:t xml:space="preserve"> – É o indicador por meio do qual a unidade irá aferir a evolução do objetivo de contribuição.</w:t>
      </w:r>
    </w:p>
    <w:p w:rsidR="003C284C" w:rsidRDefault="003C284C" w:rsidP="00386878">
      <w:pPr>
        <w:ind w:firstLine="708"/>
        <w:jc w:val="both"/>
      </w:pPr>
      <w:r w:rsidRPr="003C284C">
        <w:rPr>
          <w:b/>
        </w:rPr>
        <w:t>Meta Setorial</w:t>
      </w:r>
      <w:r>
        <w:t xml:space="preserve"> – É a meta fixada para o Indicador Setorial.</w:t>
      </w:r>
      <w:r w:rsidR="00F20EE8">
        <w:t xml:space="preserve"> Deve ter pertinência com a meta estratégica do Tribunal.</w:t>
      </w:r>
    </w:p>
    <w:p w:rsidR="00957C2E" w:rsidRDefault="003C284C" w:rsidP="00386878">
      <w:pPr>
        <w:ind w:firstLine="708"/>
        <w:jc w:val="both"/>
      </w:pPr>
      <w:r w:rsidRPr="00957C2E">
        <w:rPr>
          <w:b/>
        </w:rPr>
        <w:t>Ação Setorial</w:t>
      </w:r>
      <w:r>
        <w:t xml:space="preserve"> – contempla </w:t>
      </w:r>
      <w:r w:rsidR="00957C2E">
        <w:t xml:space="preserve">as atividades, os projetos e </w:t>
      </w:r>
      <w:r>
        <w:t>as iniciativas</w:t>
      </w:r>
      <w:r w:rsidR="00957C2E">
        <w:t xml:space="preserve"> que contribuem para o a</w:t>
      </w:r>
      <w:r w:rsidR="00A5382F">
        <w:t>tingimento</w:t>
      </w:r>
      <w:r w:rsidR="00957C2E">
        <w:t xml:space="preserve"> do objetivo de contribuição e, consequentemente, para o objetivo estratégico.</w:t>
      </w:r>
    </w:p>
    <w:p w:rsidR="00957C2E" w:rsidRDefault="00957C2E" w:rsidP="00957C2E">
      <w:pPr>
        <w:ind w:left="708" w:firstLine="708"/>
        <w:jc w:val="both"/>
      </w:pPr>
      <w:r w:rsidRPr="00957C2E">
        <w:rPr>
          <w:b/>
        </w:rPr>
        <w:t>Atividade</w:t>
      </w:r>
      <w:r>
        <w:t xml:space="preserve"> – são ações realizadas de forma repetitiva e rotineira no âmbito da unidade.</w:t>
      </w:r>
    </w:p>
    <w:p w:rsidR="00957C2E" w:rsidRDefault="00957C2E" w:rsidP="00957C2E">
      <w:pPr>
        <w:ind w:left="708" w:firstLine="708"/>
        <w:jc w:val="both"/>
      </w:pPr>
      <w:r w:rsidRPr="00957C2E">
        <w:rPr>
          <w:b/>
        </w:rPr>
        <w:t>Projeto</w:t>
      </w:r>
      <w:r>
        <w:t xml:space="preserve"> – é um empreendimento não repetitivo, caracterizado por uma sequência clara e lógica de eventos, com início, meio e fim, que se destina a atingir um objetivo claro e definido.</w:t>
      </w:r>
    </w:p>
    <w:p w:rsidR="003C284C" w:rsidRPr="00386878" w:rsidRDefault="00957C2E" w:rsidP="00957C2E">
      <w:pPr>
        <w:ind w:left="708" w:firstLine="708"/>
        <w:jc w:val="both"/>
      </w:pPr>
      <w:r w:rsidRPr="00957C2E">
        <w:rPr>
          <w:b/>
        </w:rPr>
        <w:t>Iniciativas</w:t>
      </w:r>
      <w:r>
        <w:t xml:space="preserve"> - são as</w:t>
      </w:r>
      <w:r w:rsidR="003C284C">
        <w:t xml:space="preserve"> ações </w:t>
      </w:r>
      <w:r>
        <w:t xml:space="preserve">não repetitivas e que pela sua natureza e extensão </w:t>
      </w:r>
      <w:r w:rsidR="003C284C">
        <w:t>não configurem projetos</w:t>
      </w:r>
      <w:r>
        <w:t>.</w:t>
      </w:r>
    </w:p>
    <w:p w:rsidR="00DF2EFE" w:rsidRDefault="00DF2EFE" w:rsidP="005A22E9">
      <w:pPr>
        <w:jc w:val="both"/>
        <w:rPr>
          <w:b/>
        </w:rPr>
      </w:pPr>
      <w:r>
        <w:rPr>
          <w:b/>
        </w:rPr>
        <w:t>Plano Setorial d</w:t>
      </w:r>
      <w:r w:rsidR="000A45F3">
        <w:rPr>
          <w:b/>
        </w:rPr>
        <w:t>e</w:t>
      </w:r>
      <w:r>
        <w:rPr>
          <w:b/>
        </w:rPr>
        <w:t xml:space="preserve"> </w:t>
      </w:r>
      <w:r w:rsidR="00A5382F">
        <w:rPr>
          <w:b/>
        </w:rPr>
        <w:t>Trabalho</w:t>
      </w:r>
      <w:r w:rsidR="0019178C">
        <w:rPr>
          <w:b/>
        </w:rPr>
        <w:t>. Apresentação.</w:t>
      </w:r>
    </w:p>
    <w:p w:rsidR="0003032F" w:rsidRDefault="005A22E9" w:rsidP="00C7022E">
      <w:pPr>
        <w:ind w:firstLine="708"/>
        <w:jc w:val="both"/>
      </w:pPr>
      <w:r>
        <w:t>O</w:t>
      </w:r>
      <w:r w:rsidR="008D6429">
        <w:t xml:space="preserve"> </w:t>
      </w:r>
      <w:r>
        <w:t>Plano</w:t>
      </w:r>
      <w:r w:rsidRPr="005A22E9">
        <w:t xml:space="preserve"> Setorial </w:t>
      </w:r>
      <w:r w:rsidR="00A5382F">
        <w:t>d</w:t>
      </w:r>
      <w:r w:rsidR="000A45F3">
        <w:t>e</w:t>
      </w:r>
      <w:r w:rsidR="00A5382F">
        <w:t xml:space="preserve"> Trabalho</w:t>
      </w:r>
      <w:r w:rsidR="00995ADC">
        <w:t xml:space="preserve"> </w:t>
      </w:r>
      <w:r w:rsidRPr="005A22E9">
        <w:t xml:space="preserve">é uma ferramenta </w:t>
      </w:r>
      <w:r w:rsidR="00995ADC">
        <w:t>de apoio ao gestor n</w:t>
      </w:r>
      <w:r w:rsidR="00A5382F">
        <w:t>o</w:t>
      </w:r>
      <w:r w:rsidR="00995ADC">
        <w:t xml:space="preserve"> qual </w:t>
      </w:r>
      <w:r w:rsidR="00960A63">
        <w:t>deve ser</w:t>
      </w:r>
      <w:r w:rsidR="005321FC">
        <w:t xml:space="preserve"> </w:t>
      </w:r>
      <w:r w:rsidR="00B43B74">
        <w:t>descrit</w:t>
      </w:r>
      <w:r w:rsidR="00A5382F">
        <w:t>o</w:t>
      </w:r>
      <w:r w:rsidR="00B43B74">
        <w:t xml:space="preserve"> </w:t>
      </w:r>
      <w:r w:rsidR="00A5382F">
        <w:t xml:space="preserve">o detalhamento da ação setorial prevista no </w:t>
      </w:r>
      <w:r w:rsidR="00A5382F" w:rsidRPr="00F20EE8">
        <w:rPr>
          <w:b/>
        </w:rPr>
        <w:t>Painel de Contribuição da Unidade</w:t>
      </w:r>
      <w:r w:rsidR="00A5382F">
        <w:t xml:space="preserve">, </w:t>
      </w:r>
      <w:proofErr w:type="gramStart"/>
      <w:r w:rsidR="00A5382F">
        <w:t>o</w:t>
      </w:r>
      <w:r w:rsidR="004C60BE">
        <w:t>(</w:t>
      </w:r>
      <w:proofErr w:type="gramEnd"/>
      <w:r w:rsidR="004C60BE">
        <w:t>s)</w:t>
      </w:r>
      <w:r w:rsidR="00A5382F">
        <w:t xml:space="preserve"> responsável</w:t>
      </w:r>
      <w:r w:rsidR="004C60BE">
        <w:t>(</w:t>
      </w:r>
      <w:proofErr w:type="spellStart"/>
      <w:r w:rsidR="004C60BE">
        <w:t>is</w:t>
      </w:r>
      <w:proofErr w:type="spellEnd"/>
      <w:r w:rsidR="004C60BE">
        <w:t>)</w:t>
      </w:r>
      <w:r w:rsidR="00F20EE8">
        <w:t>,</w:t>
      </w:r>
      <w:r w:rsidR="00A5382F">
        <w:t xml:space="preserve"> e o prazo</w:t>
      </w:r>
      <w:r w:rsidR="008812F3">
        <w:t xml:space="preserve"> ou data limite</w:t>
      </w:r>
      <w:r w:rsidR="00B43B74">
        <w:t xml:space="preserve"> </w:t>
      </w:r>
      <w:r w:rsidR="005613AD">
        <w:t xml:space="preserve">pactuado ou </w:t>
      </w:r>
      <w:r w:rsidR="008812F3">
        <w:t>estabelecido</w:t>
      </w:r>
      <w:r w:rsidR="004C60BE">
        <w:t xml:space="preserve"> pel</w:t>
      </w:r>
      <w:r w:rsidR="005613AD">
        <w:t>a</w:t>
      </w:r>
      <w:r w:rsidR="004C60BE">
        <w:t xml:space="preserve"> gerência da</w:t>
      </w:r>
      <w:r>
        <w:t xml:space="preserve"> unidade</w:t>
      </w:r>
      <w:r w:rsidR="004C60BE">
        <w:t xml:space="preserve"> a este(s) responsável(</w:t>
      </w:r>
      <w:proofErr w:type="spellStart"/>
      <w:r w:rsidR="004C60BE">
        <w:t>is</w:t>
      </w:r>
      <w:proofErr w:type="spellEnd"/>
      <w:r w:rsidR="004C60BE">
        <w:t>) para a realização da ação setorial</w:t>
      </w:r>
      <w:r w:rsidR="005321FC">
        <w:t>.</w:t>
      </w:r>
      <w:r w:rsidR="0003032F">
        <w:t xml:space="preserve"> Nesta coluna a gerência indicará a data máxima para conclusão das atividades e entrega </w:t>
      </w:r>
      <w:proofErr w:type="gramStart"/>
      <w:r w:rsidR="0003032F">
        <w:t>do(</w:t>
      </w:r>
      <w:proofErr w:type="gramEnd"/>
      <w:r w:rsidR="0003032F">
        <w:t>s) produto(s) e/ou atendimento da meta.</w:t>
      </w:r>
    </w:p>
    <w:p w:rsidR="00C95BCC" w:rsidRDefault="005A22E9" w:rsidP="00C95BCC">
      <w:pPr>
        <w:ind w:firstLine="708"/>
        <w:jc w:val="both"/>
      </w:pPr>
      <w:r>
        <w:t>O</w:t>
      </w:r>
      <w:r w:rsidRPr="005A22E9">
        <w:t xml:space="preserve"> Plano Setorial </w:t>
      </w:r>
      <w:r w:rsidR="00B12D16">
        <w:t>eleva as possibilidades de cada</w:t>
      </w:r>
      <w:r>
        <w:t xml:space="preserve"> setor atingir plenamente os </w:t>
      </w:r>
      <w:r w:rsidR="00B12D16">
        <w:t>objetivos institucionais</w:t>
      </w:r>
      <w:r w:rsidR="00377E99">
        <w:t xml:space="preserve">, </w:t>
      </w:r>
      <w:r>
        <w:t xml:space="preserve">cooperando fortemente para o </w:t>
      </w:r>
      <w:r w:rsidRPr="005A22E9">
        <w:t xml:space="preserve">objetivo final de prestar um serviço público de excelência. </w:t>
      </w:r>
      <w:r w:rsidR="00377E99">
        <w:t xml:space="preserve">Facilita a coordenação e o </w:t>
      </w:r>
      <w:r>
        <w:t xml:space="preserve">monitoramento da ação, </w:t>
      </w:r>
      <w:r w:rsidR="00377E99">
        <w:t xml:space="preserve">assim como </w:t>
      </w:r>
      <w:r>
        <w:t xml:space="preserve">a correção </w:t>
      </w:r>
      <w:r w:rsidR="00377E99">
        <w:t xml:space="preserve">segura </w:t>
      </w:r>
      <w:r>
        <w:t>de rumo a</w:t>
      </w:r>
      <w:r w:rsidR="00377E99">
        <w:t xml:space="preserve"> qualquer tempo. S</w:t>
      </w:r>
      <w:r w:rsidRPr="005A22E9">
        <w:t xml:space="preserve">eu conteúdo </w:t>
      </w:r>
      <w:r>
        <w:t xml:space="preserve">pode </w:t>
      </w:r>
      <w:r w:rsidRPr="005A22E9">
        <w:t xml:space="preserve">realimentar o planejamento </w:t>
      </w:r>
      <w:proofErr w:type="gramStart"/>
      <w:r>
        <w:t>do(</w:t>
      </w:r>
      <w:proofErr w:type="gramEnd"/>
      <w:r>
        <w:t xml:space="preserve">s) </w:t>
      </w:r>
      <w:r w:rsidRPr="005A22E9">
        <w:t>ano</w:t>
      </w:r>
      <w:r>
        <w:t>(s)</w:t>
      </w:r>
      <w:r w:rsidRPr="005A22E9">
        <w:t xml:space="preserve"> seguinte</w:t>
      </w:r>
      <w:r>
        <w:t>(s)</w:t>
      </w:r>
      <w:r w:rsidRPr="005A22E9">
        <w:t>.</w:t>
      </w:r>
    </w:p>
    <w:p w:rsidR="00C95BCC" w:rsidRDefault="00C95BCC" w:rsidP="00C95BCC">
      <w:pPr>
        <w:jc w:val="both"/>
        <w:rPr>
          <w:b/>
        </w:rPr>
      </w:pPr>
      <w:r>
        <w:rPr>
          <w:b/>
        </w:rPr>
        <w:t>ACOMPANHAMENTO INDIVIDUAL DO PLANEJAMENTO SETORIAL</w:t>
      </w:r>
    </w:p>
    <w:p w:rsidR="00C95BCC" w:rsidRDefault="00C95BCC" w:rsidP="00C95BCC">
      <w:pPr>
        <w:ind w:firstLine="708"/>
        <w:jc w:val="both"/>
      </w:pPr>
      <w:r>
        <w:t>O Acompanhamento Individual do Planejamento Setorial é</w:t>
      </w:r>
      <w:r w:rsidRPr="005A22E9">
        <w:t xml:space="preserve"> uma ferramenta </w:t>
      </w:r>
      <w:r>
        <w:t>de apoio ao gestor que possibilita registrar o desempenho de cada servidor designado para uma etapa da ação setorial.</w:t>
      </w:r>
    </w:p>
    <w:p w:rsidR="00C95BCC" w:rsidRDefault="0003032F" w:rsidP="00C95BCC">
      <w:pPr>
        <w:ind w:firstLine="708"/>
        <w:jc w:val="both"/>
      </w:pPr>
      <w:r>
        <w:t>Deve ser utilizado um quadro para cada servidor da unidade, no qual a gerência irá registrar:</w:t>
      </w:r>
    </w:p>
    <w:p w:rsidR="0035736D" w:rsidRPr="005613AD" w:rsidRDefault="00690887" w:rsidP="005613AD">
      <w:pPr>
        <w:ind w:firstLine="360"/>
        <w:jc w:val="both"/>
      </w:pPr>
      <w:r w:rsidRPr="005613AD">
        <w:rPr>
          <w:b/>
        </w:rPr>
        <w:lastRenderedPageBreak/>
        <w:t>Detalhamento da Aç</w:t>
      </w:r>
      <w:r w:rsidR="000A45F3">
        <w:rPr>
          <w:b/>
        </w:rPr>
        <w:t>ão</w:t>
      </w:r>
      <w:r w:rsidRPr="005613AD">
        <w:rPr>
          <w:b/>
        </w:rPr>
        <w:t xml:space="preserve"> Setoria</w:t>
      </w:r>
      <w:r w:rsidR="000A45F3">
        <w:rPr>
          <w:b/>
        </w:rPr>
        <w:t>l</w:t>
      </w:r>
      <w:r w:rsidR="0003032F" w:rsidRPr="005613AD">
        <w:rPr>
          <w:b/>
        </w:rPr>
        <w:t xml:space="preserve"> </w:t>
      </w:r>
      <w:r w:rsidR="0003032F" w:rsidRPr="005613AD">
        <w:t xml:space="preserve">– </w:t>
      </w:r>
      <w:r w:rsidR="005613AD" w:rsidRPr="005613AD">
        <w:t>d</w:t>
      </w:r>
      <w:r w:rsidR="00530CEE" w:rsidRPr="005613AD">
        <w:t xml:space="preserve">escrever </w:t>
      </w:r>
      <w:r w:rsidR="00111593" w:rsidRPr="005613AD">
        <w:t>as</w:t>
      </w:r>
      <w:r w:rsidR="004C60BE" w:rsidRPr="005613AD">
        <w:t xml:space="preserve"> etapas</w:t>
      </w:r>
      <w:r w:rsidR="00111593" w:rsidRPr="005613AD">
        <w:t xml:space="preserve"> </w:t>
      </w:r>
      <w:r w:rsidR="005613AD" w:rsidRPr="005613AD">
        <w:t>previstas no Plano Setorial de Trabalho que foram atribuídas ao respectivo servidor.</w:t>
      </w:r>
    </w:p>
    <w:p w:rsidR="005613AD" w:rsidRDefault="005613AD" w:rsidP="005613AD">
      <w:pPr>
        <w:ind w:firstLine="360"/>
        <w:jc w:val="both"/>
      </w:pPr>
      <w:r w:rsidRPr="005613AD">
        <w:rPr>
          <w:b/>
        </w:rPr>
        <w:t>Indicador de Acompanhamento</w:t>
      </w:r>
      <w:r>
        <w:t xml:space="preserve"> – é o meio de verificação</w:t>
      </w:r>
      <w:r w:rsidR="008812F3">
        <w:t xml:space="preserve"> ou controle</w:t>
      </w:r>
      <w:r>
        <w:t xml:space="preserve"> que a gerência utilizará para </w:t>
      </w:r>
      <w:r w:rsidR="008812F3">
        <w:t>constatar</w:t>
      </w:r>
      <w:r>
        <w:t xml:space="preserve"> que a etapa </w:t>
      </w:r>
      <w:r w:rsidR="000A45F3">
        <w:t>está sendo ou foi executada</w:t>
      </w:r>
      <w:r>
        <w:t xml:space="preserve"> pelo servidor.</w:t>
      </w:r>
    </w:p>
    <w:p w:rsidR="005613AD" w:rsidRDefault="005613AD" w:rsidP="005613AD">
      <w:pPr>
        <w:ind w:firstLine="360"/>
        <w:jc w:val="both"/>
      </w:pPr>
      <w:r>
        <w:rPr>
          <w:b/>
        </w:rPr>
        <w:t xml:space="preserve">Realizado </w:t>
      </w:r>
      <w:r w:rsidRPr="005613AD">
        <w:t xml:space="preserve">– nesta coluna </w:t>
      </w:r>
      <w:r>
        <w:t>será registrado o resultado/entrega/produto decorrente da etapa atribuída ao servidor.</w:t>
      </w:r>
    </w:p>
    <w:p w:rsidR="006E7E46" w:rsidRDefault="006E7E46" w:rsidP="006E7E46">
      <w:pPr>
        <w:jc w:val="both"/>
        <w:rPr>
          <w:b/>
        </w:rPr>
      </w:pPr>
      <w:r>
        <w:rPr>
          <w:b/>
        </w:rPr>
        <w:t>REGISTRO DAS NECESSIDADES DE CAPACITAÇÃO/DESENVOLVIMENTO DE COMPETÊNCIAS</w:t>
      </w:r>
    </w:p>
    <w:p w:rsidR="00CF5995" w:rsidRDefault="00CF5995" w:rsidP="003C2329">
      <w:pPr>
        <w:pStyle w:val="PargrafodaLista"/>
        <w:numPr>
          <w:ilvl w:val="0"/>
          <w:numId w:val="3"/>
        </w:numPr>
        <w:jc w:val="both"/>
      </w:pPr>
      <w:r>
        <w:t>Caso seja necessário proporcionar capacitação específica para viabilizar o atendimento d</w:t>
      </w:r>
      <w:r w:rsidR="006E7E46">
        <w:t>o resultado a ser entregue pelo servidor</w:t>
      </w:r>
      <w:r>
        <w:t xml:space="preserve">, listar as competências que devem ser alvo de desenvolvimento, sugerir ênfases ou temas para a capacitação, indicar o público alvo e, </w:t>
      </w:r>
      <w:r w:rsidR="00122FE5">
        <w:t>em expediente apartado</w:t>
      </w:r>
      <w:r>
        <w:t xml:space="preserve">, </w:t>
      </w:r>
      <w:r w:rsidR="00122FE5">
        <w:t xml:space="preserve">encaminhar a solicitação de capacitação para a Escola de Contas. A demanda poderá ser atendida por meio de Trilha de Aprendizagem, evento </w:t>
      </w:r>
      <w:r w:rsidR="00122FE5" w:rsidRPr="00122FE5">
        <w:rPr>
          <w:i/>
        </w:rPr>
        <w:t xml:space="preserve">in </w:t>
      </w:r>
      <w:proofErr w:type="spellStart"/>
      <w:r w:rsidR="00122FE5" w:rsidRPr="00122FE5">
        <w:rPr>
          <w:i/>
        </w:rPr>
        <w:t>company</w:t>
      </w:r>
      <w:proofErr w:type="spellEnd"/>
      <w:r w:rsidR="00122FE5">
        <w:t xml:space="preserve"> ou externo, conforme cada caso e de acordo com o plano de capacitação aprovado pelo plenário.</w:t>
      </w:r>
      <w:bookmarkStart w:id="0" w:name="_GoBack"/>
      <w:bookmarkEnd w:id="0"/>
    </w:p>
    <w:sectPr w:rsidR="00CF5995" w:rsidSect="002C76C2"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3195"/>
    <w:multiLevelType w:val="multilevel"/>
    <w:tmpl w:val="A1A00EA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6A4781"/>
    <w:multiLevelType w:val="multilevel"/>
    <w:tmpl w:val="A99081C8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98405E"/>
    <w:multiLevelType w:val="multilevel"/>
    <w:tmpl w:val="41C44D90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B94D18"/>
    <w:multiLevelType w:val="hybridMultilevel"/>
    <w:tmpl w:val="A38E0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F1E79"/>
    <w:multiLevelType w:val="multilevel"/>
    <w:tmpl w:val="70562454"/>
    <w:lvl w:ilvl="0">
      <w:start w:val="1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C105CD"/>
    <w:multiLevelType w:val="hybridMultilevel"/>
    <w:tmpl w:val="E6445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83C92"/>
    <w:multiLevelType w:val="hybridMultilevel"/>
    <w:tmpl w:val="EC9CD8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51E37"/>
    <w:multiLevelType w:val="hybridMultilevel"/>
    <w:tmpl w:val="C106AB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D0873"/>
    <w:multiLevelType w:val="hybridMultilevel"/>
    <w:tmpl w:val="9B941660"/>
    <w:lvl w:ilvl="0" w:tplc="0416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9D"/>
    <w:rsid w:val="0003032F"/>
    <w:rsid w:val="00051AC9"/>
    <w:rsid w:val="0007485E"/>
    <w:rsid w:val="00075183"/>
    <w:rsid w:val="0009289D"/>
    <w:rsid w:val="000A45F3"/>
    <w:rsid w:val="00101C42"/>
    <w:rsid w:val="00111593"/>
    <w:rsid w:val="00122FE5"/>
    <w:rsid w:val="00170E72"/>
    <w:rsid w:val="0019178C"/>
    <w:rsid w:val="001A346F"/>
    <w:rsid w:val="001D1994"/>
    <w:rsid w:val="002019E8"/>
    <w:rsid w:val="00214ED2"/>
    <w:rsid w:val="0022762A"/>
    <w:rsid w:val="00237C47"/>
    <w:rsid w:val="00242283"/>
    <w:rsid w:val="0025016E"/>
    <w:rsid w:val="00282202"/>
    <w:rsid w:val="002963D6"/>
    <w:rsid w:val="002B196A"/>
    <w:rsid w:val="002C0366"/>
    <w:rsid w:val="002C5D71"/>
    <w:rsid w:val="002C647A"/>
    <w:rsid w:val="002C76C2"/>
    <w:rsid w:val="00300FF2"/>
    <w:rsid w:val="00306A5A"/>
    <w:rsid w:val="0031015E"/>
    <w:rsid w:val="00335BF3"/>
    <w:rsid w:val="00341B33"/>
    <w:rsid w:val="00342E6C"/>
    <w:rsid w:val="0035736D"/>
    <w:rsid w:val="00363C86"/>
    <w:rsid w:val="00373649"/>
    <w:rsid w:val="00377E99"/>
    <w:rsid w:val="00386878"/>
    <w:rsid w:val="00394098"/>
    <w:rsid w:val="003A44A8"/>
    <w:rsid w:val="003C2329"/>
    <w:rsid w:val="003C284C"/>
    <w:rsid w:val="003C49A3"/>
    <w:rsid w:val="00423EDF"/>
    <w:rsid w:val="00424BCD"/>
    <w:rsid w:val="004C15FD"/>
    <w:rsid w:val="004C60BE"/>
    <w:rsid w:val="004C7FC1"/>
    <w:rsid w:val="004F013C"/>
    <w:rsid w:val="004F174C"/>
    <w:rsid w:val="005110D9"/>
    <w:rsid w:val="00514A23"/>
    <w:rsid w:val="00527B35"/>
    <w:rsid w:val="00527B39"/>
    <w:rsid w:val="00530CEE"/>
    <w:rsid w:val="005321FC"/>
    <w:rsid w:val="005613AD"/>
    <w:rsid w:val="005A22E9"/>
    <w:rsid w:val="005A4CFE"/>
    <w:rsid w:val="005C319F"/>
    <w:rsid w:val="005E0502"/>
    <w:rsid w:val="005E4E92"/>
    <w:rsid w:val="00664D00"/>
    <w:rsid w:val="006823E4"/>
    <w:rsid w:val="00682B27"/>
    <w:rsid w:val="00690887"/>
    <w:rsid w:val="006B5F71"/>
    <w:rsid w:val="006C037E"/>
    <w:rsid w:val="006E1177"/>
    <w:rsid w:val="006E7E46"/>
    <w:rsid w:val="00707E21"/>
    <w:rsid w:val="0073084E"/>
    <w:rsid w:val="00753D64"/>
    <w:rsid w:val="00775DCD"/>
    <w:rsid w:val="00776B6F"/>
    <w:rsid w:val="00777F7F"/>
    <w:rsid w:val="007C2029"/>
    <w:rsid w:val="007C5989"/>
    <w:rsid w:val="007C79D9"/>
    <w:rsid w:val="007D342E"/>
    <w:rsid w:val="007E4FFF"/>
    <w:rsid w:val="007F2827"/>
    <w:rsid w:val="00835686"/>
    <w:rsid w:val="00845120"/>
    <w:rsid w:val="008521E5"/>
    <w:rsid w:val="00865E76"/>
    <w:rsid w:val="008812F3"/>
    <w:rsid w:val="00887973"/>
    <w:rsid w:val="00894EBE"/>
    <w:rsid w:val="008960AA"/>
    <w:rsid w:val="008C73F0"/>
    <w:rsid w:val="008D6429"/>
    <w:rsid w:val="008E1A1F"/>
    <w:rsid w:val="008E62B2"/>
    <w:rsid w:val="00941BD3"/>
    <w:rsid w:val="00941CFD"/>
    <w:rsid w:val="00957C2E"/>
    <w:rsid w:val="00960A63"/>
    <w:rsid w:val="00975FA9"/>
    <w:rsid w:val="00995ADC"/>
    <w:rsid w:val="00A0545E"/>
    <w:rsid w:val="00A5382F"/>
    <w:rsid w:val="00AC2C6E"/>
    <w:rsid w:val="00AF6155"/>
    <w:rsid w:val="00B07ECA"/>
    <w:rsid w:val="00B12D16"/>
    <w:rsid w:val="00B14F0C"/>
    <w:rsid w:val="00B17974"/>
    <w:rsid w:val="00B325E0"/>
    <w:rsid w:val="00B43B74"/>
    <w:rsid w:val="00B57413"/>
    <w:rsid w:val="00B772A7"/>
    <w:rsid w:val="00BB011D"/>
    <w:rsid w:val="00BC4309"/>
    <w:rsid w:val="00C23AE6"/>
    <w:rsid w:val="00C269F4"/>
    <w:rsid w:val="00C41CE0"/>
    <w:rsid w:val="00C549F4"/>
    <w:rsid w:val="00C55029"/>
    <w:rsid w:val="00C64A3C"/>
    <w:rsid w:val="00C667D6"/>
    <w:rsid w:val="00C7022E"/>
    <w:rsid w:val="00C835C0"/>
    <w:rsid w:val="00C95BCC"/>
    <w:rsid w:val="00CC30EB"/>
    <w:rsid w:val="00CC5E16"/>
    <w:rsid w:val="00CF307C"/>
    <w:rsid w:val="00CF5995"/>
    <w:rsid w:val="00D13349"/>
    <w:rsid w:val="00D3205D"/>
    <w:rsid w:val="00D36FAE"/>
    <w:rsid w:val="00D3762B"/>
    <w:rsid w:val="00D60562"/>
    <w:rsid w:val="00D769F7"/>
    <w:rsid w:val="00D81259"/>
    <w:rsid w:val="00DA4F19"/>
    <w:rsid w:val="00DA7213"/>
    <w:rsid w:val="00DC0C21"/>
    <w:rsid w:val="00DE1ADB"/>
    <w:rsid w:val="00DE2CD8"/>
    <w:rsid w:val="00DF2EFE"/>
    <w:rsid w:val="00E06EC1"/>
    <w:rsid w:val="00E13D56"/>
    <w:rsid w:val="00E5652F"/>
    <w:rsid w:val="00E72507"/>
    <w:rsid w:val="00ED39A8"/>
    <w:rsid w:val="00EF774E"/>
    <w:rsid w:val="00F06364"/>
    <w:rsid w:val="00F06BDE"/>
    <w:rsid w:val="00F20EE8"/>
    <w:rsid w:val="00F2114E"/>
    <w:rsid w:val="00F314BC"/>
    <w:rsid w:val="00F41D1A"/>
    <w:rsid w:val="00F9689C"/>
    <w:rsid w:val="00FD149D"/>
    <w:rsid w:val="00FF39C7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F4210-7070-4BC9-BF65-144A8655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22E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7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F7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96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632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L</dc:creator>
  <cp:keywords/>
  <dc:description/>
  <cp:lastModifiedBy>Delso Ferreira da Silva Junior</cp:lastModifiedBy>
  <cp:revision>5</cp:revision>
  <cp:lastPrinted>2016-03-23T15:00:00Z</cp:lastPrinted>
  <dcterms:created xsi:type="dcterms:W3CDTF">2016-03-23T13:38:00Z</dcterms:created>
  <dcterms:modified xsi:type="dcterms:W3CDTF">2016-03-31T19:11:00Z</dcterms:modified>
</cp:coreProperties>
</file>